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25" w:rsidRPr="00827CFE" w:rsidRDefault="00B36525" w:rsidP="001E100D">
      <w:pPr>
        <w:jc w:val="center"/>
        <w:outlineLvl w:val="0"/>
        <w:rPr>
          <w:sz w:val="40"/>
          <w:szCs w:val="40"/>
        </w:rPr>
      </w:pPr>
      <w:r w:rsidRPr="00827CF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51.75pt;visibility:visible">
            <v:imagedata r:id="rId4" o:title=""/>
          </v:shape>
        </w:pict>
      </w:r>
    </w:p>
    <w:p w:rsidR="00B36525" w:rsidRPr="00827CFE" w:rsidRDefault="00B36525" w:rsidP="001E100D">
      <w:pPr>
        <w:jc w:val="center"/>
        <w:outlineLvl w:val="0"/>
        <w:rPr>
          <w:sz w:val="36"/>
          <w:szCs w:val="36"/>
        </w:rPr>
      </w:pPr>
      <w:r w:rsidRPr="00827CFE">
        <w:rPr>
          <w:sz w:val="36"/>
          <w:szCs w:val="36"/>
        </w:rPr>
        <w:t xml:space="preserve">Контрольно-счетная палата </w:t>
      </w:r>
    </w:p>
    <w:p w:rsidR="00B36525" w:rsidRPr="00827CFE" w:rsidRDefault="00B36525" w:rsidP="001E100D">
      <w:pPr>
        <w:jc w:val="center"/>
        <w:outlineLvl w:val="0"/>
        <w:rPr>
          <w:sz w:val="36"/>
          <w:szCs w:val="36"/>
        </w:rPr>
      </w:pPr>
      <w:r w:rsidRPr="00827CFE">
        <w:rPr>
          <w:sz w:val="36"/>
          <w:szCs w:val="36"/>
        </w:rPr>
        <w:t>муниципального образования Сакмарский район</w:t>
      </w:r>
    </w:p>
    <w:p w:rsidR="00B36525" w:rsidRPr="00827CFE" w:rsidRDefault="00B36525" w:rsidP="001E100D">
      <w:pPr>
        <w:jc w:val="center"/>
        <w:outlineLvl w:val="0"/>
        <w:rPr>
          <w:sz w:val="22"/>
          <w:szCs w:val="22"/>
        </w:rPr>
      </w:pPr>
      <w:r w:rsidRPr="00827CFE">
        <w:rPr>
          <w:sz w:val="22"/>
          <w:szCs w:val="22"/>
        </w:rPr>
        <w:t>461420, Россия, Оренбургская область, Сакмарский район, с. Сакмара,</w:t>
      </w:r>
    </w:p>
    <w:p w:rsidR="00B36525" w:rsidRPr="00827CFE" w:rsidRDefault="00B36525" w:rsidP="001E100D">
      <w:pPr>
        <w:pBdr>
          <w:bottom w:val="single" w:sz="12" w:space="1" w:color="auto"/>
        </w:pBdr>
        <w:jc w:val="center"/>
        <w:outlineLvl w:val="0"/>
        <w:rPr>
          <w:sz w:val="22"/>
          <w:szCs w:val="22"/>
        </w:rPr>
      </w:pPr>
      <w:r w:rsidRPr="00827CFE">
        <w:rPr>
          <w:sz w:val="22"/>
          <w:szCs w:val="22"/>
        </w:rPr>
        <w:t xml:space="preserve">ул. Советская, д. 25, каб. 401, </w:t>
      </w:r>
      <w:r w:rsidRPr="00827CFE">
        <w:rPr>
          <w:sz w:val="22"/>
          <w:szCs w:val="22"/>
          <w:lang w:val="en-US"/>
        </w:rPr>
        <w:t>e</w:t>
      </w:r>
      <w:r w:rsidRPr="00827CFE">
        <w:rPr>
          <w:sz w:val="22"/>
          <w:szCs w:val="22"/>
        </w:rPr>
        <w:t>-</w:t>
      </w:r>
      <w:r w:rsidRPr="00827CFE">
        <w:rPr>
          <w:sz w:val="22"/>
          <w:szCs w:val="22"/>
          <w:lang w:val="en-US"/>
        </w:rPr>
        <w:t>mail</w:t>
      </w:r>
      <w:r w:rsidRPr="00827CFE">
        <w:rPr>
          <w:sz w:val="22"/>
          <w:szCs w:val="22"/>
        </w:rPr>
        <w:t xml:space="preserve">: </w:t>
      </w:r>
      <w:r w:rsidRPr="00827CFE">
        <w:rPr>
          <w:sz w:val="22"/>
          <w:szCs w:val="22"/>
          <w:lang w:val="en-US"/>
        </w:rPr>
        <w:t>ksp</w:t>
      </w:r>
      <w:r w:rsidRPr="00827CFE">
        <w:rPr>
          <w:sz w:val="22"/>
          <w:szCs w:val="22"/>
        </w:rPr>
        <w:t>@</w:t>
      </w:r>
      <w:r w:rsidRPr="00827CFE">
        <w:rPr>
          <w:sz w:val="22"/>
          <w:szCs w:val="22"/>
          <w:lang w:val="en-US"/>
        </w:rPr>
        <w:t>sk</w:t>
      </w:r>
      <w:r w:rsidRPr="00827CFE">
        <w:rPr>
          <w:sz w:val="22"/>
          <w:szCs w:val="22"/>
        </w:rPr>
        <w:t>.</w:t>
      </w:r>
      <w:r w:rsidRPr="00827CFE">
        <w:rPr>
          <w:sz w:val="22"/>
          <w:szCs w:val="22"/>
          <w:lang w:val="en-US"/>
        </w:rPr>
        <w:t>orb</w:t>
      </w:r>
      <w:r w:rsidRPr="00827CFE">
        <w:rPr>
          <w:sz w:val="22"/>
          <w:szCs w:val="22"/>
        </w:rPr>
        <w:t>.</w:t>
      </w:r>
      <w:r w:rsidRPr="00827CFE">
        <w:rPr>
          <w:sz w:val="22"/>
          <w:szCs w:val="22"/>
          <w:lang w:val="en-US"/>
        </w:rPr>
        <w:t>ru</w:t>
      </w:r>
      <w:r w:rsidRPr="00827CFE">
        <w:rPr>
          <w:sz w:val="22"/>
          <w:szCs w:val="22"/>
        </w:rPr>
        <w:t>, Тел (35331) 22-1-94</w:t>
      </w:r>
    </w:p>
    <w:p w:rsidR="00B36525" w:rsidRPr="00827CFE" w:rsidRDefault="00B36525" w:rsidP="00A53055">
      <w:pPr>
        <w:jc w:val="right"/>
        <w:rPr>
          <w:sz w:val="28"/>
          <w:szCs w:val="28"/>
        </w:rPr>
      </w:pPr>
      <w:r w:rsidRPr="00827CFE">
        <w:rPr>
          <w:sz w:val="28"/>
          <w:szCs w:val="28"/>
        </w:rPr>
        <w:t>16.04.2020 г.</w:t>
      </w:r>
    </w:p>
    <w:p w:rsidR="00B36525" w:rsidRPr="00827CFE" w:rsidRDefault="00B36525" w:rsidP="001E100D">
      <w:pPr>
        <w:jc w:val="center"/>
        <w:rPr>
          <w:sz w:val="28"/>
          <w:szCs w:val="28"/>
        </w:rPr>
      </w:pPr>
    </w:p>
    <w:p w:rsidR="00B36525" w:rsidRPr="00827CFE" w:rsidRDefault="00B36525" w:rsidP="001E100D">
      <w:pPr>
        <w:jc w:val="center"/>
        <w:rPr>
          <w:sz w:val="28"/>
          <w:szCs w:val="28"/>
        </w:rPr>
      </w:pPr>
      <w:r w:rsidRPr="00827CFE">
        <w:rPr>
          <w:sz w:val="28"/>
          <w:szCs w:val="28"/>
        </w:rPr>
        <w:t>ЗАКЛЮЧЕНИЕ</w:t>
      </w:r>
    </w:p>
    <w:p w:rsidR="00B36525" w:rsidRPr="00827CFE" w:rsidRDefault="00B36525" w:rsidP="001E100D">
      <w:pPr>
        <w:ind w:firstLine="708"/>
        <w:jc w:val="center"/>
        <w:rPr>
          <w:sz w:val="28"/>
          <w:szCs w:val="28"/>
        </w:rPr>
      </w:pPr>
      <w:r w:rsidRPr="00827CFE">
        <w:rPr>
          <w:sz w:val="28"/>
          <w:szCs w:val="28"/>
        </w:rPr>
        <w:t xml:space="preserve">контрольно-счетной палаты муниципального образования </w:t>
      </w:r>
    </w:p>
    <w:p w:rsidR="00B36525" w:rsidRPr="00827CFE" w:rsidRDefault="00B36525" w:rsidP="001E100D">
      <w:pPr>
        <w:ind w:firstLine="708"/>
        <w:jc w:val="center"/>
        <w:rPr>
          <w:sz w:val="28"/>
          <w:szCs w:val="28"/>
        </w:rPr>
      </w:pPr>
      <w:r w:rsidRPr="00827CFE">
        <w:rPr>
          <w:sz w:val="28"/>
          <w:szCs w:val="28"/>
        </w:rPr>
        <w:t>Сакмарский район на внешнюю проверку годового отчета «Об исполнении бюджета администрации МО Украинский сельсовет Сакмарского района Оренбургской области за 2019 год»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Заключение Контрольно-счетной палаты муниципального образования Сакмарский район (далее - Контрольно-счетная палата) подготовлено в соответствии с требованиями Бюджетного Кодекса Российской Федерации (далее – БК РФ), </w:t>
      </w:r>
      <w:r w:rsidRPr="00827CFE">
        <w:rPr>
          <w:rFonts w:ascii="Times New Roman CYR" w:hAnsi="Times New Roman CYR" w:cs="Times New Roman CYR"/>
          <w:sz w:val="28"/>
          <w:szCs w:val="28"/>
        </w:rPr>
        <w:t>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№191н (далее – Инструкция №191н),</w:t>
      </w:r>
      <w:r w:rsidRPr="00827CFE">
        <w:rPr>
          <w:sz w:val="28"/>
          <w:szCs w:val="28"/>
        </w:rPr>
        <w:t xml:space="preserve"> положением «О Контрольно-счетной палате муниципального образования Сакмарский район», утвержденным решением Совета депутатов муниципального образования Сакмарский район №287 от 14 июня 2019 года, соглашением о передаче Контрольно-счетной палате муниципального образования Сакмарский район полномочий Контрольно-счетного органа сельского поселения по осуществлению внешнего муниципального финансового контроля №15 от 23.12.2019 года, положением о бюджетном процессе в Украинском сельсовете, планом работы Контрольно-счетной палаты на 2020 год.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В соответствии с требованиями ст. 264 БК РФ, представленный отчет содержит в себе показатели, определяющие основные характеристики бюджета, а именно данные общего объема доходов, расходов, дефицита/профицита бюджета. </w:t>
      </w:r>
    </w:p>
    <w:p w:rsidR="00B36525" w:rsidRPr="00827CFE" w:rsidRDefault="00B36525" w:rsidP="001E10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27CFE">
        <w:rPr>
          <w:rFonts w:ascii="Times New Roman CYR" w:hAnsi="Times New Roman CYR" w:cs="Times New Roman CYR"/>
          <w:sz w:val="28"/>
          <w:szCs w:val="28"/>
        </w:rPr>
        <w:t xml:space="preserve">          Ведение учета и отчетности по исполнению бюджета осуществляется ведущим специалистом администрации МО Украинский сельсовет Сакмарского района Оренбургской области (далее – Украинский сельсовет). </w:t>
      </w:r>
    </w:p>
    <w:p w:rsidR="00B36525" w:rsidRPr="00827CFE" w:rsidRDefault="00B36525" w:rsidP="001E10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27CFE">
        <w:rPr>
          <w:sz w:val="28"/>
          <w:szCs w:val="28"/>
        </w:rPr>
        <w:t xml:space="preserve">          Бюджетная отчетность представлена 30.03.2020 г. в соответствии с пунктом 4 Инструкции №191н в сброшюрованном и пронумерованном виде с оглавлением и сопроводительным письмом.</w:t>
      </w:r>
    </w:p>
    <w:p w:rsidR="00B36525" w:rsidRPr="00827CFE" w:rsidRDefault="00B36525" w:rsidP="001E10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27CFE">
        <w:rPr>
          <w:rFonts w:ascii="Times New Roman CYR" w:hAnsi="Times New Roman CYR" w:cs="Times New Roman CYR"/>
          <w:sz w:val="28"/>
          <w:szCs w:val="28"/>
        </w:rPr>
        <w:t xml:space="preserve">          Бюджетная отчетность муниципального образования Украинский сельсовет по состоянию на 1 января 2020 года, подписана руководителем и ведущим специалистом, составлена нарастающим итогом с начала года в рублях с точностью до второго десятичного знака после запятой, что соответствует пункту 9 Инструкции №191н.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ab/>
        <w:t xml:space="preserve">Бюджет Украинского сельсовета на 2019 год утвержден решением №115 от 27.12.2018г. «О бюджете Украинского сельсовета на 2019 год и плановый период 2020 и 2021 годов». В бюджет в 2019 году шесть раз вносились изменения решениями Совета депутатов №123 от 12.02.2019г., №139 от 11.07.2019г., №142 от 15.08.2019г., №146 от 10.10.2019г., №154 от 05.11.2019г., №157 от 11.12.2019г. Решения размещены на сайте «http://admukr.ru/».    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Доходная часть бюджета по данным отчета об исполнении бюджета исполнена на 110,4% к утвержденным годовым назначениям </w:t>
      </w:r>
      <w:r w:rsidRPr="00827CFE">
        <w:rPr>
          <w:sz w:val="28"/>
          <w:szCs w:val="28"/>
          <w:lang w:eastAsia="en-US"/>
        </w:rPr>
        <w:t xml:space="preserve">7784,7 </w:t>
      </w:r>
      <w:r w:rsidRPr="00827CFE">
        <w:rPr>
          <w:sz w:val="28"/>
          <w:szCs w:val="28"/>
        </w:rPr>
        <w:t xml:space="preserve">тыс. рублей, и составила 8595,1 тыс. рублей. Расходная часть бюджета района исполнена на 87,8% к утвержденным годовым назначениям </w:t>
      </w:r>
      <w:r w:rsidRPr="00827CFE">
        <w:rPr>
          <w:sz w:val="28"/>
          <w:szCs w:val="28"/>
          <w:lang w:eastAsia="en-US"/>
        </w:rPr>
        <w:t xml:space="preserve">9001,5 </w:t>
      </w:r>
      <w:r w:rsidRPr="00827CFE">
        <w:rPr>
          <w:sz w:val="28"/>
          <w:szCs w:val="28"/>
        </w:rPr>
        <w:t>тыс. рублей, и составила 7902,5 тыс. рублей. Профицит бюджета составил 692,6 тыс. рублей, при утвержденном дефиците 1216,8 тыс. рублей.</w:t>
      </w:r>
    </w:p>
    <w:p w:rsidR="00B36525" w:rsidRPr="00827CFE" w:rsidRDefault="00B36525" w:rsidP="001E100D">
      <w:pPr>
        <w:ind w:firstLine="360"/>
        <w:jc w:val="both"/>
        <w:rPr>
          <w:color w:val="FF0000"/>
          <w:sz w:val="28"/>
          <w:szCs w:val="28"/>
        </w:rPr>
      </w:pPr>
    </w:p>
    <w:p w:rsidR="00B36525" w:rsidRPr="00827CFE" w:rsidRDefault="00B36525" w:rsidP="001E100D">
      <w:pPr>
        <w:rPr>
          <w:sz w:val="28"/>
          <w:szCs w:val="28"/>
        </w:rPr>
      </w:pPr>
      <w:r w:rsidRPr="00827CFE">
        <w:rPr>
          <w:sz w:val="28"/>
          <w:szCs w:val="28"/>
        </w:rPr>
        <w:t>ДОХОДЫ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Отклонения исполнения доходов бюджета от утвержденных назначений в разрезе собственных доходов и безвозмездных поступлений за 2018-2019 годы содержатся в таблице: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920"/>
        <w:gridCol w:w="921"/>
        <w:gridCol w:w="900"/>
        <w:gridCol w:w="801"/>
        <w:gridCol w:w="780"/>
        <w:gridCol w:w="1065"/>
        <w:gridCol w:w="708"/>
        <w:gridCol w:w="709"/>
        <w:gridCol w:w="709"/>
        <w:gridCol w:w="709"/>
      </w:tblGrid>
      <w:tr w:rsidR="00B36525" w:rsidRPr="00827CFE">
        <w:tc>
          <w:tcPr>
            <w:tcW w:w="1490" w:type="dxa"/>
            <w:vMerge w:val="restart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28"/>
                <w:szCs w:val="28"/>
              </w:rPr>
              <w:t xml:space="preserve">  </w:t>
            </w:r>
            <w:r w:rsidRPr="00827CFE">
              <w:rPr>
                <w:sz w:val="18"/>
                <w:szCs w:val="18"/>
              </w:rPr>
              <w:t>Доходы</w:t>
            </w:r>
          </w:p>
        </w:tc>
        <w:tc>
          <w:tcPr>
            <w:tcW w:w="1841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701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845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Неисполненные назначения, тыс.руб.</w:t>
            </w:r>
          </w:p>
        </w:tc>
        <w:tc>
          <w:tcPr>
            <w:tcW w:w="1417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8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Доля, %</w:t>
            </w:r>
          </w:p>
        </w:tc>
      </w:tr>
      <w:tr w:rsidR="00B36525" w:rsidRPr="00827CFE">
        <w:tc>
          <w:tcPr>
            <w:tcW w:w="1490" w:type="dxa"/>
            <w:vMerge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801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8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1065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</w:tr>
      <w:tr w:rsidR="00B36525" w:rsidRPr="00827CFE">
        <w:tc>
          <w:tcPr>
            <w:tcW w:w="1490" w:type="dxa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Налоговые и неналоговые </w:t>
            </w:r>
          </w:p>
        </w:tc>
        <w:tc>
          <w:tcPr>
            <w:tcW w:w="92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2597,4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3462,0</w:t>
            </w:r>
          </w:p>
        </w:tc>
        <w:tc>
          <w:tcPr>
            <w:tcW w:w="90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2663,4</w:t>
            </w:r>
          </w:p>
        </w:tc>
        <w:tc>
          <w:tcPr>
            <w:tcW w:w="801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4272,4</w:t>
            </w:r>
          </w:p>
        </w:tc>
        <w:tc>
          <w:tcPr>
            <w:tcW w:w="78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-66,0</w:t>
            </w:r>
          </w:p>
        </w:tc>
        <w:tc>
          <w:tcPr>
            <w:tcW w:w="1065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-810,4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123,4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49,7</w:t>
            </w:r>
          </w:p>
        </w:tc>
      </w:tr>
      <w:tr w:rsidR="00B36525" w:rsidRPr="00827CFE">
        <w:tc>
          <w:tcPr>
            <w:tcW w:w="1490" w:type="dxa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2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5227,0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4322,7</w:t>
            </w:r>
          </w:p>
        </w:tc>
        <w:tc>
          <w:tcPr>
            <w:tcW w:w="90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5227,0</w:t>
            </w:r>
          </w:p>
        </w:tc>
        <w:tc>
          <w:tcPr>
            <w:tcW w:w="801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4322,7</w:t>
            </w:r>
          </w:p>
        </w:tc>
        <w:tc>
          <w:tcPr>
            <w:tcW w:w="78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5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50,3</w:t>
            </w:r>
          </w:p>
        </w:tc>
      </w:tr>
      <w:tr w:rsidR="00B36525" w:rsidRPr="00827CFE">
        <w:tc>
          <w:tcPr>
            <w:tcW w:w="1490" w:type="dxa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7824,4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7784,7</w:t>
            </w:r>
          </w:p>
        </w:tc>
        <w:tc>
          <w:tcPr>
            <w:tcW w:w="90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7890,4</w:t>
            </w:r>
          </w:p>
        </w:tc>
        <w:tc>
          <w:tcPr>
            <w:tcW w:w="801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8595,1</w:t>
            </w:r>
          </w:p>
        </w:tc>
        <w:tc>
          <w:tcPr>
            <w:tcW w:w="780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-66,0</w:t>
            </w:r>
          </w:p>
        </w:tc>
        <w:tc>
          <w:tcPr>
            <w:tcW w:w="1065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-810,4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110,4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1B6C3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:rsidR="00B36525" w:rsidRPr="00827CFE" w:rsidRDefault="00B36525" w:rsidP="001E100D">
      <w:pPr>
        <w:ind w:firstLine="360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В структуре доходов бюджета за 2019 год доля поступлений налоговых и неналоговых доходов составляет 49,7%, безвозмездных поступлений 50,3%.     </w:t>
      </w:r>
    </w:p>
    <w:p w:rsidR="00B36525" w:rsidRPr="00827CFE" w:rsidRDefault="00B36525" w:rsidP="001E100D">
      <w:pPr>
        <w:ind w:firstLine="360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Отклонения исполнения доходов бюджета по налоговым и неналоговым доходам от утвержденных назначений в разрезе статей доходов за 2018-2019 годы содержатся в таблице: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B36525" w:rsidRPr="00827CFE">
        <w:tc>
          <w:tcPr>
            <w:tcW w:w="2199" w:type="dxa"/>
            <w:vMerge w:val="restart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701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417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418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Доля, %</w:t>
            </w:r>
          </w:p>
        </w:tc>
      </w:tr>
      <w:tr w:rsidR="00B36525" w:rsidRPr="00827CFE">
        <w:tc>
          <w:tcPr>
            <w:tcW w:w="2199" w:type="dxa"/>
            <w:vMerge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НДФЛ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665,3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680,3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658,1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753,9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-73,6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110,8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17,6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Налоги на товары (работы, услуги)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697,8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759,8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731,6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849,0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-33,8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-89,2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111,7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27,4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19,9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33,3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-8,0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131,6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0,8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1934,6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1160,4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2566,6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-39,4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-632,0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132,7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43,6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60,1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69,6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-7,6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112,3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1,6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2597,4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3462,0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2663,4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4272,4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-66,0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-810,4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123,4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27CFE">
              <w:rPr>
                <w:color w:val="000000"/>
                <w:sz w:val="18"/>
                <w:szCs w:val="18"/>
                <w:lang w:eastAsia="en-US"/>
              </w:rPr>
              <w:t>100</w:t>
            </w:r>
            <w:r w:rsidRPr="00827CFE">
              <w:rPr>
                <w:color w:val="000000"/>
                <w:sz w:val="18"/>
                <w:szCs w:val="18"/>
              </w:rPr>
              <w:t>,0</w:t>
            </w:r>
          </w:p>
        </w:tc>
      </w:tr>
    </w:tbl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Основным бюджетообразующим доходным источником в 2019 году  был земельный налог (удельный вес 60,1%). Фактические поступления земельного налога в бюджет составило 2566,6 тыс. рублей, выполнение 132,7% от уровня утвержденного плана на 2019 год. </w:t>
      </w:r>
    </w:p>
    <w:p w:rsidR="00B36525" w:rsidRPr="00827CFE" w:rsidRDefault="00B36525" w:rsidP="0005160A">
      <w:pPr>
        <w:ind w:firstLine="708"/>
        <w:jc w:val="both"/>
        <w:rPr>
          <w:sz w:val="28"/>
          <w:szCs w:val="28"/>
        </w:rPr>
      </w:pPr>
      <w:r w:rsidRPr="00827CFE">
        <w:rPr>
          <w:sz w:val="28"/>
          <w:szCs w:val="28"/>
        </w:rPr>
        <w:t>Налоги на товары (работы, услуги) проще говоря, акцизы поступили в бюджет в размере 849,0 тыс. рублей, план выполнен на 111,7%.</w:t>
      </w:r>
    </w:p>
    <w:p w:rsidR="00B36525" w:rsidRPr="00827CFE" w:rsidRDefault="00B36525" w:rsidP="0005160A">
      <w:pPr>
        <w:ind w:firstLine="708"/>
        <w:jc w:val="both"/>
        <w:rPr>
          <w:sz w:val="28"/>
          <w:szCs w:val="28"/>
        </w:rPr>
      </w:pPr>
      <w:r w:rsidRPr="00827CFE">
        <w:rPr>
          <w:sz w:val="28"/>
          <w:szCs w:val="28"/>
        </w:rPr>
        <w:t>Годовой план по налогу на имущество выполнен на 131,6% (33,3 тыс. рублей).</w:t>
      </w:r>
    </w:p>
    <w:p w:rsidR="00B36525" w:rsidRPr="00827CFE" w:rsidRDefault="00B36525" w:rsidP="001E100D">
      <w:pPr>
        <w:pStyle w:val="BodyText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Государственная пошлина за совершение нотариальных действий выполнена на 112,3% (поступило 69,6 тыс.рублей).</w:t>
      </w:r>
    </w:p>
    <w:p w:rsidR="00B36525" w:rsidRPr="00827CFE" w:rsidRDefault="00B36525" w:rsidP="001E100D">
      <w:pPr>
        <w:pStyle w:val="BodyText"/>
        <w:jc w:val="both"/>
        <w:rPr>
          <w:sz w:val="28"/>
          <w:szCs w:val="28"/>
        </w:rPr>
      </w:pP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Безвозмездные поступления от других бюджетов бюджетной системы РФ (дотации, субвенции, иные межбюджетные трансферты), представлены в таблице: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B36525" w:rsidRPr="00827CFE">
        <w:tc>
          <w:tcPr>
            <w:tcW w:w="2199" w:type="dxa"/>
            <w:vMerge w:val="restart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701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417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418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Доля, %</w:t>
            </w:r>
          </w:p>
        </w:tc>
      </w:tr>
      <w:tr w:rsidR="00B36525" w:rsidRPr="00827CFE">
        <w:tc>
          <w:tcPr>
            <w:tcW w:w="2199" w:type="dxa"/>
            <w:vMerge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4452,7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4232,8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4452,7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4232,8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97,9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Субвенции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89,9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2,1</w:t>
            </w: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spacing w:line="192" w:lineRule="auto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680,5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680,5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36525" w:rsidRPr="00827CFE">
        <w:tc>
          <w:tcPr>
            <w:tcW w:w="2199" w:type="dxa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5227,0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4322,7</w:t>
            </w:r>
          </w:p>
        </w:tc>
        <w:tc>
          <w:tcPr>
            <w:tcW w:w="85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5227,0</w:t>
            </w:r>
          </w:p>
        </w:tc>
        <w:tc>
          <w:tcPr>
            <w:tcW w:w="851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4322,7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Безвозмездные поступления от других бюджетов бюджетной системы РФ в виде дотаций и субвенций исполнены на 100%.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>РАСХОДЫ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Бюджет по расходам за 2019 г. утвержден в объеме 9001,5 тыс.рублей, исполнен на 7902,5 тыс.рублей, т.е. 87,8% к утвержденному плану.</w:t>
      </w:r>
    </w:p>
    <w:p w:rsidR="00B36525" w:rsidRPr="00827CFE" w:rsidRDefault="00B36525" w:rsidP="001E100D">
      <w:pPr>
        <w:ind w:firstLine="360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Общая характеристика расходов по разделам функциональной классификации за 2018-2019 годы приведена в таблице: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921"/>
        <w:gridCol w:w="879"/>
        <w:gridCol w:w="933"/>
        <w:gridCol w:w="840"/>
        <w:gridCol w:w="861"/>
        <w:gridCol w:w="720"/>
        <w:gridCol w:w="720"/>
        <w:gridCol w:w="1084"/>
        <w:gridCol w:w="709"/>
        <w:gridCol w:w="708"/>
      </w:tblGrid>
      <w:tr w:rsidR="00B36525" w:rsidRPr="00827CFE">
        <w:trPr>
          <w:trHeight w:val="349"/>
        </w:trPr>
        <w:tc>
          <w:tcPr>
            <w:tcW w:w="1478" w:type="dxa"/>
            <w:vMerge w:val="restart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Расходы</w:t>
            </w:r>
          </w:p>
        </w:tc>
        <w:tc>
          <w:tcPr>
            <w:tcW w:w="1800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773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581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804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Доля, %</w:t>
            </w:r>
          </w:p>
        </w:tc>
      </w:tr>
      <w:tr w:rsidR="00B36525" w:rsidRPr="00827CFE">
        <w:trPr>
          <w:trHeight w:val="349"/>
        </w:trPr>
        <w:tc>
          <w:tcPr>
            <w:tcW w:w="1478" w:type="dxa"/>
            <w:vMerge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326886">
            <w:pPr>
              <w:jc w:val="center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2019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2641,6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3920,8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2475,7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3519,1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401,7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89,8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44,5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89,9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0</w:t>
            </w:r>
            <w:r w:rsidRPr="00827CF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100</w:t>
            </w:r>
            <w:r w:rsidRPr="00827CF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1,1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371,2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282,4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77,2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17,6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94,1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3,6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1064,8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1705,1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625,5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1336,8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439,3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368,3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78,4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16,9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2427,5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1325,7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2017,1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1138,5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410,4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187,2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14,4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1549,6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1655,4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1495,2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1532,0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123,4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92,5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19,4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919,5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916,0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2,6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0</w:t>
            </w:r>
            <w:r w:rsidRPr="00827CF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100</w:t>
            </w:r>
            <w:r w:rsidRPr="00827CF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0,1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1,2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0,8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60</w:t>
            </w:r>
            <w:r w:rsidRPr="00827CF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0</w:t>
            </w:r>
            <w:r w:rsidRPr="00827CFE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36525" w:rsidRPr="00827CFE">
        <w:tc>
          <w:tcPr>
            <w:tcW w:w="1478" w:type="dxa"/>
            <w:vAlign w:val="center"/>
          </w:tcPr>
          <w:p w:rsidR="00B36525" w:rsidRPr="00827CFE" w:rsidRDefault="00B36525" w:rsidP="00326886">
            <w:pPr>
              <w:spacing w:before="120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Итого</w:t>
            </w:r>
            <w:r w:rsidRPr="00827CF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921" w:type="dxa"/>
            <w:vAlign w:val="center"/>
          </w:tcPr>
          <w:p w:rsidR="00B36525" w:rsidRPr="00827CFE" w:rsidRDefault="00B36525" w:rsidP="00326886">
            <w:pPr>
              <w:jc w:val="right"/>
              <w:rPr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9056,8</w:t>
            </w:r>
          </w:p>
        </w:tc>
        <w:tc>
          <w:tcPr>
            <w:tcW w:w="879" w:type="dxa"/>
            <w:vAlign w:val="center"/>
          </w:tcPr>
          <w:p w:rsidR="00B36525" w:rsidRPr="00827CFE" w:rsidRDefault="00B36525" w:rsidP="002B76DB">
            <w:pPr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9001,5</w:t>
            </w:r>
          </w:p>
        </w:tc>
        <w:tc>
          <w:tcPr>
            <w:tcW w:w="933" w:type="dxa"/>
            <w:vAlign w:val="center"/>
          </w:tcPr>
          <w:p w:rsidR="00B36525" w:rsidRPr="00827CFE" w:rsidRDefault="00B36525" w:rsidP="00326886">
            <w:pPr>
              <w:jc w:val="right"/>
              <w:rPr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7906,1</w:t>
            </w:r>
          </w:p>
        </w:tc>
        <w:tc>
          <w:tcPr>
            <w:tcW w:w="84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7902,5</w:t>
            </w:r>
          </w:p>
        </w:tc>
        <w:tc>
          <w:tcPr>
            <w:tcW w:w="861" w:type="dxa"/>
            <w:vAlign w:val="center"/>
          </w:tcPr>
          <w:p w:rsidR="00B36525" w:rsidRPr="00827CFE" w:rsidRDefault="00B36525" w:rsidP="00326886">
            <w:pPr>
              <w:jc w:val="right"/>
              <w:rPr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1150,7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1099,0</w:t>
            </w:r>
          </w:p>
        </w:tc>
        <w:tc>
          <w:tcPr>
            <w:tcW w:w="720" w:type="dxa"/>
            <w:vAlign w:val="center"/>
          </w:tcPr>
          <w:p w:rsidR="00B36525" w:rsidRPr="00827CFE" w:rsidRDefault="00B36525" w:rsidP="00326886">
            <w:pPr>
              <w:jc w:val="right"/>
              <w:rPr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084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27CFE">
              <w:rPr>
                <w:sz w:val="18"/>
                <w:szCs w:val="18"/>
              </w:rPr>
              <w:t>87,8</w:t>
            </w:r>
          </w:p>
        </w:tc>
        <w:tc>
          <w:tcPr>
            <w:tcW w:w="709" w:type="dxa"/>
            <w:vAlign w:val="center"/>
          </w:tcPr>
          <w:p w:rsidR="00B36525" w:rsidRPr="00827CFE" w:rsidRDefault="00B36525" w:rsidP="002B76DB">
            <w:pPr>
              <w:jc w:val="right"/>
              <w:rPr>
                <w:color w:val="000000"/>
                <w:sz w:val="18"/>
                <w:szCs w:val="18"/>
              </w:rPr>
            </w:pPr>
            <w:r w:rsidRPr="00827C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B36525" w:rsidRPr="00827CFE" w:rsidRDefault="00B36525" w:rsidP="002B76D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7CFE">
              <w:rPr>
                <w:sz w:val="18"/>
                <w:szCs w:val="18"/>
                <w:lang w:eastAsia="en-US"/>
              </w:rPr>
              <w:t>100</w:t>
            </w:r>
            <w:r w:rsidRPr="00827CFE">
              <w:rPr>
                <w:color w:val="000000"/>
                <w:sz w:val="18"/>
                <w:szCs w:val="18"/>
              </w:rPr>
              <w:t>,0</w:t>
            </w:r>
          </w:p>
        </w:tc>
      </w:tr>
    </w:tbl>
    <w:p w:rsidR="00B36525" w:rsidRPr="00827CFE" w:rsidRDefault="00B36525" w:rsidP="001E100D">
      <w:pPr>
        <w:ind w:firstLine="360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Анализ исполнения расходной части ф.0503117 (отчета об исполнении бюджета) за 2019 год показал, что плановые назначения – 9001,5 тыс. рублей выполнены на 87,8%.</w:t>
      </w:r>
    </w:p>
    <w:p w:rsidR="00B36525" w:rsidRPr="00827CFE" w:rsidRDefault="00B36525" w:rsidP="001E100D">
      <w:pPr>
        <w:ind w:firstLine="709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Наибольшую долю в общей сумме расходов, составляют расходы на общегосударственные вопросы 44,5%, на культуру и кинематографию 19,4%. </w:t>
      </w:r>
    </w:p>
    <w:p w:rsidR="00B36525" w:rsidRPr="00827CFE" w:rsidRDefault="00B36525" w:rsidP="001E100D">
      <w:pPr>
        <w:ind w:firstLine="709"/>
        <w:jc w:val="both"/>
        <w:rPr>
          <w:sz w:val="28"/>
          <w:szCs w:val="28"/>
        </w:rPr>
      </w:pPr>
      <w:r w:rsidRPr="00827CFE">
        <w:rPr>
          <w:sz w:val="28"/>
          <w:szCs w:val="28"/>
        </w:rPr>
        <w:t>Наименьшую долю в структуре расходов до 3,6% составляют: национальная оборона; национальная безопасность и правоохранительная деятельность; социальная политика; физическая культура и спорт.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В разрезе разделов функциональной классификации расходы бюджета составили по: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 1) разделу «Общегосударственные вопросы» - 3519,1 тыс. рублей или 89,8% от плановых назначений, в том числе: </w:t>
      </w:r>
    </w:p>
    <w:p w:rsidR="00B36525" w:rsidRPr="00827CFE" w:rsidRDefault="00B36525" w:rsidP="001E100D">
      <w:pPr>
        <w:ind w:firstLine="426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- по подразделу «Функционирование высшего должностного лица   субъекта Российской Федерации и муниципального образования» - 839,5 тыс. рублей или 95,5% к годовому плану;</w:t>
      </w:r>
    </w:p>
    <w:p w:rsidR="00B36525" w:rsidRPr="00827CFE" w:rsidRDefault="00B36525" w:rsidP="001E100D">
      <w:pPr>
        <w:ind w:firstLine="426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- по подразделу «Функционирование Правительства РФ, высших исполнительных органов государственной власти субъектов РФ, местных администраций» - 2155,9 тыс. рублей или 91,5% к годовому плану;</w:t>
      </w:r>
    </w:p>
    <w:p w:rsidR="00B36525" w:rsidRPr="00827CFE" w:rsidRDefault="00B36525" w:rsidP="001E100D">
      <w:pPr>
        <w:ind w:firstLine="426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- по подразделу «Обеспечение деятельности финансовых, налоговых и таможенных органов и органов финансового надзора» - 20,3 тыс.рублей или 100,0% от уровня годового плана;</w:t>
      </w:r>
    </w:p>
    <w:p w:rsidR="00B36525" w:rsidRPr="00827CFE" w:rsidRDefault="00B36525" w:rsidP="00592ECA">
      <w:pPr>
        <w:ind w:firstLine="426"/>
        <w:jc w:val="both"/>
        <w:rPr>
          <w:color w:val="000000"/>
          <w:sz w:val="28"/>
          <w:szCs w:val="28"/>
        </w:rPr>
      </w:pPr>
      <w:r w:rsidRPr="00827CFE">
        <w:rPr>
          <w:color w:val="000000"/>
          <w:sz w:val="28"/>
          <w:szCs w:val="28"/>
        </w:rPr>
        <w:t xml:space="preserve">    </w:t>
      </w:r>
      <w:r w:rsidRPr="00827CFE">
        <w:rPr>
          <w:color w:val="000000"/>
          <w:sz w:val="28"/>
          <w:szCs w:val="28"/>
        </w:rPr>
        <w:tab/>
        <w:t xml:space="preserve">- </w:t>
      </w:r>
      <w:r w:rsidRPr="00827CFE">
        <w:rPr>
          <w:sz w:val="28"/>
          <w:szCs w:val="28"/>
        </w:rPr>
        <w:t>по подразделу «Другие общегосударственные расходы» - 503,4 тыс. рублей или 81,7% от уровня годового плана;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ab/>
        <w:t xml:space="preserve"> 2) По разделу «Национальная оборона» расходы составили 89,9 тыс. рублей или 100% от уровня годового плана;      </w:t>
      </w:r>
    </w:p>
    <w:p w:rsidR="00B36525" w:rsidRPr="00827CFE" w:rsidRDefault="00B36525" w:rsidP="001E100D">
      <w:pPr>
        <w:ind w:firstLine="708"/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3) Расходы по разделу «Национальная безопасность и правоохранительная деятельность» составили 282,4 тыс. рублей или 94,1% от уровня годового плана;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4) Расходы по разделу «Национальная экономика» произведены на сумму 1336,8 тыс. рублей или 78,4 % плана года, в том числе: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- по подразделу «Дорожное хозяйство (дорожные фонды)» - 1296,4 тыс. рублей или 77,9% от уровня годового плана;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ab/>
        <w:t xml:space="preserve"> - по подразделу «Другие вопросы в области национальной экономики» (градостроительная деятельность) – 40,4 тыс. рублей или 100,0 % от годового плана;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5) Расходы бюджета по разделу «Жилищно-коммунальное хозяйство» составили 1138,5 тыс. рублей или 85,9% к уровню годового плана, из них:</w:t>
      </w:r>
    </w:p>
    <w:p w:rsidR="00B36525" w:rsidRPr="00827CFE" w:rsidRDefault="00B36525" w:rsidP="001E100D">
      <w:pPr>
        <w:ind w:firstLine="708"/>
        <w:jc w:val="both"/>
        <w:rPr>
          <w:sz w:val="28"/>
          <w:szCs w:val="28"/>
        </w:rPr>
      </w:pPr>
      <w:r w:rsidRPr="00827CFE">
        <w:rPr>
          <w:sz w:val="28"/>
          <w:szCs w:val="28"/>
        </w:rPr>
        <w:t>- по подразделу «Коммунальное хозяйство» в сумме 293,5 тыс. рублей или 63,7% к уровню годового плана;</w:t>
      </w:r>
    </w:p>
    <w:p w:rsidR="00B36525" w:rsidRPr="00827CFE" w:rsidRDefault="00B36525" w:rsidP="001E100D">
      <w:pPr>
        <w:ind w:firstLine="708"/>
        <w:jc w:val="both"/>
        <w:rPr>
          <w:sz w:val="28"/>
          <w:szCs w:val="28"/>
        </w:rPr>
      </w:pPr>
      <w:r w:rsidRPr="00827CFE">
        <w:rPr>
          <w:sz w:val="28"/>
          <w:szCs w:val="28"/>
        </w:rPr>
        <w:t>- по подразделу «Благоустройство» в сумме 845,0 тыс. рублей или 97,7% к уровню годового плана;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6) По разделу «Культура, кинематография» расходы из бюджета произведены на сумму 1532,0 тыс. рублей или 92,5% к уровню годового плана, из них:</w:t>
      </w:r>
    </w:p>
    <w:p w:rsidR="00B36525" w:rsidRPr="00827CFE" w:rsidRDefault="00B36525" w:rsidP="001E100D">
      <w:pPr>
        <w:ind w:firstLine="708"/>
        <w:jc w:val="both"/>
        <w:rPr>
          <w:sz w:val="28"/>
          <w:szCs w:val="28"/>
        </w:rPr>
      </w:pPr>
      <w:r w:rsidRPr="00827CFE">
        <w:rPr>
          <w:sz w:val="28"/>
          <w:szCs w:val="28"/>
        </w:rPr>
        <w:t>- по подразделу «мероприятия в сфере культуры» в сумме 734,8 тыс. рублей или 85,6% от уровня годового плана;</w:t>
      </w:r>
    </w:p>
    <w:p w:rsidR="00B36525" w:rsidRPr="00827CFE" w:rsidRDefault="00B36525" w:rsidP="001E100D">
      <w:pPr>
        <w:ind w:firstLine="708"/>
        <w:jc w:val="both"/>
        <w:rPr>
          <w:sz w:val="28"/>
          <w:szCs w:val="28"/>
        </w:rPr>
      </w:pPr>
      <w:r w:rsidRPr="00827CFE">
        <w:rPr>
          <w:sz w:val="28"/>
          <w:szCs w:val="28"/>
        </w:rPr>
        <w:t>- по подразделу «Иные межбюджетные трансферты муниципального района на осуществление полномочий поселений в сфере культуры» в сумме 797,2 тыс. рублей или 100,0 % от годовых плановых назначений;</w:t>
      </w:r>
    </w:p>
    <w:p w:rsidR="00B36525" w:rsidRPr="00827CFE" w:rsidRDefault="00B36525" w:rsidP="009F58DA">
      <w:pPr>
        <w:ind w:firstLine="708"/>
        <w:jc w:val="both"/>
        <w:rPr>
          <w:sz w:val="28"/>
          <w:szCs w:val="28"/>
        </w:rPr>
      </w:pPr>
      <w:r w:rsidRPr="00827CFE">
        <w:rPr>
          <w:sz w:val="28"/>
          <w:szCs w:val="28"/>
        </w:rPr>
        <w:t>7) Расходы бюджета по разделу «Социальная политика» произведены на сумму 2,6 тыс. рублей или 100 % от уровня годового плана;</w:t>
      </w:r>
    </w:p>
    <w:p w:rsidR="00B36525" w:rsidRPr="00827CFE" w:rsidRDefault="00B36525" w:rsidP="009F58DA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8) По разделу «Физическая культура и спорт» расходы из бюджета произведены на сумму 1,2 тыс. рублей или 60% от уровня годового плана.</w:t>
      </w:r>
    </w:p>
    <w:p w:rsidR="00B36525" w:rsidRPr="00827CFE" w:rsidRDefault="00B36525" w:rsidP="001E100D">
      <w:pPr>
        <w:jc w:val="both"/>
        <w:rPr>
          <w:color w:val="000000"/>
          <w:sz w:val="28"/>
          <w:szCs w:val="28"/>
        </w:rPr>
      </w:pPr>
      <w:r w:rsidRPr="00827CFE">
        <w:rPr>
          <w:sz w:val="28"/>
          <w:szCs w:val="28"/>
        </w:rPr>
        <w:t xml:space="preserve">          В соответствии со ст.81 Бюджетного кодекса РФ в составе расходов бюджета был утвержден резервный фонд в размере 50 тыс.рублей или 0,6% общего объёма расходов, что не противоречит требованиям и ограничениям, установленным п.3 ст.81 Бюджетного кодекса РФ (не более 3%), </w:t>
      </w:r>
      <w:r w:rsidRPr="00827CFE">
        <w:rPr>
          <w:color w:val="000000"/>
          <w:sz w:val="28"/>
          <w:szCs w:val="28"/>
        </w:rPr>
        <w:t>направление средств из резервного фонда не осуществлялось.</w:t>
      </w:r>
      <w:bookmarkStart w:id="0" w:name="_GoBack"/>
      <w:bookmarkEnd w:id="0"/>
    </w:p>
    <w:p w:rsidR="00B36525" w:rsidRPr="00827CFE" w:rsidRDefault="00B36525" w:rsidP="000C534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27CFE">
        <w:rPr>
          <w:sz w:val="28"/>
          <w:szCs w:val="28"/>
        </w:rPr>
        <w:t xml:space="preserve">          Показатели отчета об исполнении бюджета ф.0503117 соответствуют аналогичным показателям ф.0503123</w:t>
      </w:r>
      <w:r w:rsidRPr="00827CFE">
        <w:rPr>
          <w:rFonts w:ascii="Times New Roman CYR" w:hAnsi="Times New Roman CYR" w:cs="Times New Roman CYR"/>
          <w:sz w:val="28"/>
          <w:szCs w:val="28"/>
        </w:rPr>
        <w:t xml:space="preserve"> (отчет о движении денежных средств); ф.0503124 (отчет о кассовом поступлении и выбытии бюджетных средств); ф.0503140 (баланс по поступлениям и выбытиям бюджетных средств). </w:t>
      </w:r>
    </w:p>
    <w:p w:rsidR="00B36525" w:rsidRPr="00827CFE" w:rsidRDefault="00B36525" w:rsidP="000C5346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27CFE">
        <w:rPr>
          <w:sz w:val="28"/>
          <w:szCs w:val="28"/>
        </w:rPr>
        <w:t xml:space="preserve">          Баланс исполнения бюджета (ф.0503120)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 Показатели данной формы соответствуют аналогичным показателям ф.0503168 (сведения о движении нефинансовых активов); </w:t>
      </w:r>
      <w:r w:rsidRPr="00827CFE">
        <w:rPr>
          <w:rFonts w:ascii="Times New Roman CYR" w:hAnsi="Times New Roman CYR" w:cs="Times New Roman CYR"/>
          <w:sz w:val="28"/>
          <w:szCs w:val="28"/>
        </w:rPr>
        <w:t>ф.0503169 (сведения о кредиторской и дебиторской задолженности.</w:t>
      </w:r>
    </w:p>
    <w:p w:rsidR="00B36525" w:rsidRPr="00827CFE" w:rsidRDefault="00B36525" w:rsidP="000C5346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</w:t>
      </w:r>
      <w:r w:rsidRPr="00827CFE">
        <w:rPr>
          <w:rFonts w:ascii="Times New Roman CYR" w:hAnsi="Times New Roman CYR" w:cs="Times New Roman CYR"/>
          <w:sz w:val="28"/>
          <w:szCs w:val="28"/>
        </w:rPr>
        <w:t>Отчет о кассовом поступлении и выбытии бюджетных средств (ф.0503124) отражает показатели</w:t>
      </w:r>
      <w:r w:rsidRPr="00827CFE">
        <w:rPr>
          <w:sz w:val="28"/>
          <w:szCs w:val="28"/>
        </w:rPr>
        <w:t xml:space="preserve"> по кассовому исполнению доходов и расходов по бюджетной деятельности и содержит годовые объемы утвержденных бюджетных назначений по доходам, расходам и источникам финансирования бюджета (данные соответствуют ф.0503117, ф.0503123).</w:t>
      </w:r>
    </w:p>
    <w:p w:rsidR="00B36525" w:rsidRPr="00827CFE" w:rsidRDefault="00B36525" w:rsidP="000C534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27CFE">
        <w:rPr>
          <w:rFonts w:ascii="Times New Roman CYR" w:hAnsi="Times New Roman CYR" w:cs="Times New Roman CYR"/>
          <w:sz w:val="28"/>
          <w:szCs w:val="28"/>
        </w:rPr>
        <w:t xml:space="preserve">         Баланс по поступлениям и выбытиям бюджетных средств (ф.0503140) отражает показатели по поступлениям и выбытиям денежных средств в разрезе бюджетной деятельности - данные соответствуют ф.0503117.    </w:t>
      </w:r>
    </w:p>
    <w:p w:rsidR="00B36525" w:rsidRPr="00827CFE" w:rsidRDefault="00B36525" w:rsidP="000C534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27CFE">
        <w:rPr>
          <w:rFonts w:ascii="Times New Roman CYR" w:hAnsi="Times New Roman CYR" w:cs="Times New Roman CYR"/>
          <w:sz w:val="28"/>
          <w:szCs w:val="28"/>
        </w:rPr>
        <w:t xml:space="preserve">         Пояснительная записка (ф.0503160) содержит</w:t>
      </w:r>
      <w:r w:rsidRPr="00827CFE">
        <w:rPr>
          <w:sz w:val="28"/>
          <w:szCs w:val="28"/>
        </w:rPr>
        <w:t xml:space="preserve"> информацию, оказавшую существенное влияние и характеризующую организационную структуру субъекта бюджетной отчетности за отчетный период, </w:t>
      </w:r>
      <w:r w:rsidRPr="00827CFE">
        <w:rPr>
          <w:rFonts w:ascii="Times New Roman CYR" w:hAnsi="Times New Roman CYR" w:cs="Times New Roman CYR"/>
          <w:sz w:val="28"/>
          <w:szCs w:val="28"/>
        </w:rPr>
        <w:t xml:space="preserve">анализ исполнения бюджета и бюджетной отчетности, а также сведения о результатах  использования бюджетных ассигнований, бюджетных средств в отчетном  финансовом году. </w:t>
      </w:r>
    </w:p>
    <w:p w:rsidR="00B36525" w:rsidRPr="00827CFE" w:rsidRDefault="00B36525" w:rsidP="001E100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При проведении проверки годового отчета выявлено следующее:</w:t>
      </w:r>
    </w:p>
    <w:p w:rsidR="00B36525" w:rsidRPr="00827CFE" w:rsidRDefault="00B36525" w:rsidP="000C5346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1) В нарушение </w:t>
      </w:r>
      <w:r w:rsidRPr="00827CFE">
        <w:rPr>
          <w:rStyle w:val="Strong"/>
          <w:b w:val="0"/>
          <w:bCs w:val="0"/>
          <w:sz w:val="28"/>
          <w:szCs w:val="28"/>
        </w:rPr>
        <w:t>п. 152 Инструкции № 191н</w:t>
      </w:r>
      <w:r w:rsidRPr="00827CFE">
        <w:rPr>
          <w:rStyle w:val="Strong"/>
          <w:sz w:val="28"/>
          <w:szCs w:val="28"/>
        </w:rPr>
        <w:t xml:space="preserve"> </w:t>
      </w:r>
      <w:r w:rsidRPr="00827CFE">
        <w:rPr>
          <w:sz w:val="28"/>
          <w:szCs w:val="28"/>
        </w:rPr>
        <w:t xml:space="preserve">в составе пояснительной записки допущены следующие ошибки и неточности: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ab/>
        <w:t xml:space="preserve">- в разделе 1 отсутствует ссылка на таблицу №1;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- в разделе 2 отсутствует информация о повышении квалификации и переподготовке специалистов в 2019 году. Балансовая стоимость основных средств составляет 4082945,13 рублей по состоянию на 01.01.2020 года, а не по состоянию на 01.01.2019 года. Федеральный закон от 21.07.2005г. №94-ФЗ «О размещении заказов на поставки товаров, выполнение работ, оказание услуг, для государственных нужд» утратил силу с 01.01.2014 г., вместо данного закона принят Федеральный закон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- в разделе 3 отсутствует: ссылка на таблицу №3; сведения об исполнении мероприятий в рамках целевых программ (Форма 0503166), сведения о целевых иностранных кредитах (форма 0503167);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color w:val="FF0000"/>
          <w:sz w:val="28"/>
          <w:szCs w:val="28"/>
        </w:rPr>
        <w:tab/>
      </w:r>
      <w:r w:rsidRPr="00827CFE">
        <w:rPr>
          <w:sz w:val="28"/>
          <w:szCs w:val="28"/>
        </w:rPr>
        <w:t xml:space="preserve">- в разделе 4 отсутствуют сведения: о формировании и использовании резерва Пенсионного фонда Российской Федерации по обязательному пенсионному страхованию (Таблица №8); о формировании и использовании выплатного резерва Пенсионного фонда Российской Федерации (Таблица №9); о формировании и использовании средств пенсионных накоплений застрахованных лиц, которым установлена срочная пенсионная выплата (Таблица №10); о принятых и неисполненных обязательствах получателя бюджетных средств (ф. 0503175);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 о вложениях в объекты недвижимого имущества, объектах незавершенного строительства (ф. 0503190).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В соответствии с ф.0503169 имеется дебиторская задолженность в сумме 1184841,23 рублей и кредиторская в сумме 293787,05 рублей, но в 4 разделе пояснительной записки говорится об отсутствии дебиторской и кредиторской задолженности;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- в разделе 5 отсутствуют сведения об исполнении судебных решений по денежным обязательствам бюджета (ф. 0503296). Сведения о проведении инвентаризации отражаются в разделе 5, а не в разделе 4. Таблица №6 «сведения о проведении инвентаризации» заполняется, если в результате инвентаризации имеются расхождения. В таблице №4 необходимо заполнить код счета бюджетного учета.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Таблицы №5 и №7 отменены (Приказ Минфина России от 31.01.2020 № 13н), но информация, содержащаяся в таблицах, должна быть отражена в пояснительной записке.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Согласно </w:t>
      </w:r>
      <w:r w:rsidRPr="00827CFE">
        <w:rPr>
          <w:rStyle w:val="Strong"/>
          <w:b w:val="0"/>
          <w:bCs w:val="0"/>
          <w:sz w:val="28"/>
          <w:szCs w:val="28"/>
        </w:rPr>
        <w:t xml:space="preserve">п. 8 Инструкции №191н </w:t>
      </w:r>
      <w:r w:rsidRPr="00827CFE">
        <w:rPr>
          <w:sz w:val="28"/>
          <w:szCs w:val="28"/>
        </w:rPr>
        <w:t xml:space="preserve">в случае, если все показатели, предусмотренные формой бюджетной отчетности, утвержденной Инструкцией №191н, не имеют числового значения, такая форма отчетности не составляется, но информация о нем подлежит отражению в пояснительной записке к бюджетной отчетности за отчетный период.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2) В сведениях по дебиторской и кредиторской задолженности учреждения (ф. 0503169) при наличии задолженности на конец отчетного периода Раздел 2. «Сведения о просроченной задолженности» должен быть заполнен;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3) В ф. 0503171 не заполнен ИНН эмитента МУП ЖКХ «Успех» Украинский сельсовет;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4) Годовой отчет «Об исполнении бюджета за 2019 год» на бумажном носителе не содержит пояснительной записки ф.0503160 (пояснительная записка была представлена в электронном виде);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5) Сведения об изменениях бюджетной росписи главного распорядителя бюджетных средств (ф.0503163) за 2019 год не формируются, не предоставляются (Приказ Минфина России от 31.01.2020 № 13н);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 6) При сверке значений утвержденных бюджетных назначений ф.0503117 с Решением Совета депутатов №157 от 11.12.2019г. выявлено расхождение значений в ф.0503117 </w:t>
      </w:r>
      <w:r w:rsidRPr="00827CFE">
        <w:rPr>
          <w:color w:val="000000"/>
          <w:sz w:val="28"/>
          <w:szCs w:val="28"/>
        </w:rPr>
        <w:t>«общегосударственные вопросы» 3920,8 тыс.рублей,</w:t>
      </w:r>
      <w:r w:rsidRPr="00827CFE">
        <w:rPr>
          <w:sz w:val="28"/>
          <w:szCs w:val="28"/>
        </w:rPr>
        <w:t xml:space="preserve"> «</w:t>
      </w:r>
      <w:r w:rsidRPr="00827CFE">
        <w:rPr>
          <w:color w:val="000000"/>
          <w:sz w:val="28"/>
          <w:szCs w:val="28"/>
        </w:rPr>
        <w:t>другие общегосударственные расходы» составляют 616,0 тыс.рублей, «</w:t>
      </w:r>
      <w:r w:rsidRPr="00827CFE">
        <w:rPr>
          <w:color w:val="000000"/>
          <w:sz w:val="28"/>
          <w:szCs w:val="28"/>
          <w:lang w:eastAsia="en-US"/>
        </w:rPr>
        <w:t>национальная экономика» 1705,1</w:t>
      </w:r>
      <w:r w:rsidRPr="00827CFE">
        <w:rPr>
          <w:color w:val="000000"/>
          <w:sz w:val="28"/>
          <w:szCs w:val="28"/>
        </w:rPr>
        <w:t xml:space="preserve"> тыс.рублей, «осуществление расходов, связанных с выполнением других общегосударственных обязательств и функций» 24,0 тыс.рублей, а в Решении Совета депутатов </w:t>
      </w:r>
      <w:r w:rsidRPr="00827CFE">
        <w:rPr>
          <w:color w:val="000000"/>
          <w:sz w:val="28"/>
          <w:szCs w:val="28"/>
          <w:lang w:eastAsia="en-US"/>
        </w:rPr>
        <w:t>3944,8</w:t>
      </w:r>
      <w:r w:rsidRPr="00827CFE">
        <w:rPr>
          <w:color w:val="000000"/>
          <w:sz w:val="28"/>
          <w:szCs w:val="28"/>
        </w:rPr>
        <w:t xml:space="preserve"> тыс.рублей</w:t>
      </w:r>
      <w:r w:rsidRPr="00827CFE">
        <w:rPr>
          <w:color w:val="000000"/>
          <w:sz w:val="28"/>
          <w:szCs w:val="28"/>
          <w:lang w:eastAsia="en-US"/>
        </w:rPr>
        <w:t>, 640,0</w:t>
      </w:r>
      <w:r w:rsidRPr="00827CFE">
        <w:rPr>
          <w:color w:val="000000"/>
          <w:sz w:val="28"/>
          <w:szCs w:val="28"/>
        </w:rPr>
        <w:t xml:space="preserve"> тыс.рублей</w:t>
      </w:r>
      <w:r w:rsidRPr="00827CFE">
        <w:rPr>
          <w:color w:val="000000"/>
          <w:sz w:val="28"/>
          <w:szCs w:val="28"/>
          <w:lang w:eastAsia="en-US"/>
        </w:rPr>
        <w:t>, 1681,1</w:t>
      </w:r>
      <w:r w:rsidRPr="00827CFE">
        <w:rPr>
          <w:color w:val="000000"/>
          <w:sz w:val="28"/>
          <w:szCs w:val="28"/>
        </w:rPr>
        <w:t xml:space="preserve"> тыс.рублей</w:t>
      </w:r>
      <w:r w:rsidRPr="00827CFE">
        <w:rPr>
          <w:color w:val="000000"/>
          <w:sz w:val="28"/>
          <w:szCs w:val="28"/>
          <w:lang w:eastAsia="en-US"/>
        </w:rPr>
        <w:t xml:space="preserve"> и 0,0 </w:t>
      </w:r>
      <w:r w:rsidRPr="00827CFE">
        <w:rPr>
          <w:color w:val="000000"/>
          <w:sz w:val="28"/>
          <w:szCs w:val="28"/>
        </w:rPr>
        <w:t>тыс.рублей</w:t>
      </w:r>
      <w:r w:rsidRPr="00827CFE">
        <w:rPr>
          <w:color w:val="000000"/>
          <w:sz w:val="28"/>
          <w:szCs w:val="28"/>
          <w:lang w:eastAsia="en-US"/>
        </w:rPr>
        <w:t xml:space="preserve"> соответственно</w:t>
      </w:r>
      <w:r w:rsidRPr="00827CFE">
        <w:rPr>
          <w:sz w:val="28"/>
          <w:szCs w:val="28"/>
        </w:rPr>
        <w:t>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>Предложение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1. Провести инвентаризацию имеющейся дебиторской и кредиторской задолженности, принять меры к её снижению.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2. В пояснительной записке к годовому отчету указать дату прекращения (30.07.2019 г.) деятельности ООО «Межмуниципальная управляющая компания».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</w:p>
    <w:p w:rsidR="00B36525" w:rsidRPr="00827CFE" w:rsidRDefault="00B36525" w:rsidP="001E100D">
      <w:pPr>
        <w:rPr>
          <w:sz w:val="28"/>
          <w:szCs w:val="28"/>
        </w:rPr>
      </w:pPr>
      <w:r w:rsidRPr="00827CFE">
        <w:rPr>
          <w:sz w:val="28"/>
          <w:szCs w:val="28"/>
        </w:rPr>
        <w:t>ВЫВОДЫ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1. Отчет представлен в Контрольно-счетную палату  для проведения внешней проверки, проверки отчета об исполнении бюджета сельского поселения за 2019 год и подготовки заключения в установленные сроки.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rFonts w:ascii="Times New Roman CYR" w:hAnsi="Times New Roman CYR" w:cs="Times New Roman CYR"/>
          <w:sz w:val="28"/>
          <w:szCs w:val="28"/>
        </w:rPr>
        <w:t xml:space="preserve">         2. Ошибки и нарушения, допущенные при составлении годовой отчетности учреждений необходимо устранить.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3. Отчетность об исполнении бюджета за 2019 год не содержит искажений и в целом достоверна.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4. При контрольном соотношении показателей форм представленной годовой отчетности за 2019 год расхождений и нарушений не обнаружено.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5. Существенных фактов, способных негативно повлиять на достоверность бюджетной отчетности, не установлено.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sz w:val="28"/>
          <w:szCs w:val="28"/>
        </w:rPr>
        <w:t xml:space="preserve">         6. В нарушение ст. 41, 42 Положения о бюджетном процессе в Украинском сельсовете (Решение Совета депутатов от 11.12.2019 №160) Советом депутатов муниципального образования Украинский сельсовет Сакмарского района Оренбургской области утверждено решение «Об исполнении бюджета муниципального образования Украинский сельсовет за 2019 год» №165 29.01.2020г. минуя процедуры проверки годового отчета, не соблюдая сроки. 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  <w:r w:rsidRPr="00827CFE">
        <w:rPr>
          <w:rFonts w:ascii="Times New Roman CYR" w:hAnsi="Times New Roman CYR" w:cs="Times New Roman CYR"/>
          <w:sz w:val="28"/>
          <w:szCs w:val="28"/>
        </w:rPr>
        <w:t xml:space="preserve">         7</w:t>
      </w:r>
      <w:r w:rsidRPr="00827CFE">
        <w:rPr>
          <w:sz w:val="28"/>
          <w:szCs w:val="28"/>
        </w:rPr>
        <w:t>. Контрольно-счетная палата предлагает Совету депутатов утвердить отчет «Об исполнении бюджета за 2019 год» после устранения замечаний.</w:t>
      </w:r>
    </w:p>
    <w:p w:rsidR="00B36525" w:rsidRPr="00827CFE" w:rsidRDefault="00B36525" w:rsidP="001E100D">
      <w:pPr>
        <w:jc w:val="both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5925"/>
        <w:gridCol w:w="1801"/>
        <w:gridCol w:w="2102"/>
      </w:tblGrid>
      <w:tr w:rsidR="00B36525" w:rsidRPr="00827CFE">
        <w:trPr>
          <w:trHeight w:val="542"/>
        </w:trPr>
        <w:tc>
          <w:tcPr>
            <w:tcW w:w="5925" w:type="dxa"/>
          </w:tcPr>
          <w:p w:rsidR="00B36525" w:rsidRPr="00827CFE" w:rsidRDefault="00B36525" w:rsidP="00326886">
            <w:pPr>
              <w:ind w:right="45"/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ind w:right="45"/>
              <w:rPr>
                <w:sz w:val="28"/>
                <w:szCs w:val="28"/>
              </w:rPr>
            </w:pPr>
            <w:r w:rsidRPr="00827CFE">
              <w:rPr>
                <w:sz w:val="28"/>
                <w:szCs w:val="28"/>
              </w:rPr>
              <w:t>Председатель Контрольно-счетной палаты муниципального образования Сакмарский район</w:t>
            </w:r>
          </w:p>
        </w:tc>
        <w:tc>
          <w:tcPr>
            <w:tcW w:w="1801" w:type="dxa"/>
          </w:tcPr>
          <w:p w:rsidR="00B36525" w:rsidRPr="00827CFE" w:rsidRDefault="00B36525" w:rsidP="00326886">
            <w:pPr>
              <w:ind w:right="45"/>
              <w:jc w:val="both"/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ind w:right="45"/>
              <w:jc w:val="both"/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ind w:right="45"/>
              <w:jc w:val="both"/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ind w:right="45"/>
              <w:jc w:val="both"/>
              <w:rPr>
                <w:sz w:val="28"/>
                <w:szCs w:val="28"/>
              </w:rPr>
            </w:pPr>
            <w:r w:rsidRPr="00827CFE">
              <w:rPr>
                <w:sz w:val="28"/>
                <w:szCs w:val="28"/>
              </w:rPr>
              <w:t>___________</w:t>
            </w:r>
          </w:p>
        </w:tc>
        <w:tc>
          <w:tcPr>
            <w:tcW w:w="2102" w:type="dxa"/>
          </w:tcPr>
          <w:p w:rsidR="00B36525" w:rsidRPr="00827CFE" w:rsidRDefault="00B36525" w:rsidP="00326886">
            <w:pPr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rPr>
                <w:sz w:val="28"/>
                <w:szCs w:val="28"/>
              </w:rPr>
            </w:pPr>
            <w:r w:rsidRPr="00827CFE">
              <w:rPr>
                <w:sz w:val="28"/>
                <w:szCs w:val="28"/>
              </w:rPr>
              <w:t>А.В.Чеботарева</w:t>
            </w:r>
          </w:p>
        </w:tc>
      </w:tr>
      <w:tr w:rsidR="00B36525" w:rsidRPr="00894DE2">
        <w:trPr>
          <w:trHeight w:val="542"/>
        </w:trPr>
        <w:tc>
          <w:tcPr>
            <w:tcW w:w="5925" w:type="dxa"/>
          </w:tcPr>
          <w:p w:rsidR="00B36525" w:rsidRPr="00827CFE" w:rsidRDefault="00B36525" w:rsidP="00326886">
            <w:pPr>
              <w:ind w:right="45"/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ind w:right="45"/>
              <w:rPr>
                <w:sz w:val="28"/>
                <w:szCs w:val="28"/>
              </w:rPr>
            </w:pPr>
            <w:r w:rsidRPr="00827CFE">
              <w:rPr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1801" w:type="dxa"/>
            <w:tcBorders>
              <w:bottom w:val="single" w:sz="4" w:space="0" w:color="999999"/>
            </w:tcBorders>
          </w:tcPr>
          <w:p w:rsidR="00B36525" w:rsidRPr="00827CFE" w:rsidRDefault="00B36525" w:rsidP="00326886">
            <w:pPr>
              <w:ind w:right="45"/>
              <w:jc w:val="both"/>
              <w:rPr>
                <w:sz w:val="28"/>
                <w:szCs w:val="28"/>
              </w:rPr>
            </w:pPr>
          </w:p>
          <w:p w:rsidR="00B36525" w:rsidRPr="00827CFE" w:rsidRDefault="00B36525" w:rsidP="00326886">
            <w:pPr>
              <w:ind w:right="45"/>
              <w:jc w:val="both"/>
              <w:rPr>
                <w:sz w:val="28"/>
                <w:szCs w:val="28"/>
              </w:rPr>
            </w:pPr>
            <w:r w:rsidRPr="00827CFE">
              <w:rPr>
                <w:sz w:val="28"/>
                <w:szCs w:val="28"/>
              </w:rPr>
              <w:t>___________</w:t>
            </w:r>
          </w:p>
        </w:tc>
        <w:tc>
          <w:tcPr>
            <w:tcW w:w="2102" w:type="dxa"/>
          </w:tcPr>
          <w:p w:rsidR="00B36525" w:rsidRPr="00827CFE" w:rsidRDefault="00B36525" w:rsidP="00326886">
            <w:pPr>
              <w:rPr>
                <w:sz w:val="28"/>
                <w:szCs w:val="28"/>
              </w:rPr>
            </w:pPr>
          </w:p>
          <w:p w:rsidR="00B36525" w:rsidRPr="00CC2AA9" w:rsidRDefault="00B36525" w:rsidP="00326886">
            <w:pPr>
              <w:rPr>
                <w:sz w:val="28"/>
                <w:szCs w:val="28"/>
              </w:rPr>
            </w:pPr>
            <w:r w:rsidRPr="00827CFE">
              <w:rPr>
                <w:sz w:val="28"/>
                <w:szCs w:val="28"/>
              </w:rPr>
              <w:t>Г.А.Пегова</w:t>
            </w:r>
          </w:p>
        </w:tc>
      </w:tr>
    </w:tbl>
    <w:p w:rsidR="00B36525" w:rsidRDefault="00B36525" w:rsidP="001E100D">
      <w:pPr>
        <w:jc w:val="both"/>
        <w:rPr>
          <w:sz w:val="28"/>
          <w:szCs w:val="28"/>
        </w:rPr>
      </w:pPr>
    </w:p>
    <w:sectPr w:rsidR="00B36525" w:rsidSect="00B15E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0D"/>
    <w:rsid w:val="0002080E"/>
    <w:rsid w:val="00032298"/>
    <w:rsid w:val="00050D92"/>
    <w:rsid w:val="0005160A"/>
    <w:rsid w:val="000C0873"/>
    <w:rsid w:val="000C5346"/>
    <w:rsid w:val="000D5C78"/>
    <w:rsid w:val="001255F3"/>
    <w:rsid w:val="00161522"/>
    <w:rsid w:val="001B6C3A"/>
    <w:rsid w:val="001C34DE"/>
    <w:rsid w:val="001E100D"/>
    <w:rsid w:val="001F5DB1"/>
    <w:rsid w:val="0021463B"/>
    <w:rsid w:val="00216E4A"/>
    <w:rsid w:val="002525D0"/>
    <w:rsid w:val="0027081F"/>
    <w:rsid w:val="002B76DB"/>
    <w:rsid w:val="002C13C9"/>
    <w:rsid w:val="00315CDF"/>
    <w:rsid w:val="00326886"/>
    <w:rsid w:val="00347C9F"/>
    <w:rsid w:val="003E1743"/>
    <w:rsid w:val="004263F7"/>
    <w:rsid w:val="0044668B"/>
    <w:rsid w:val="00462710"/>
    <w:rsid w:val="00466DDB"/>
    <w:rsid w:val="005004FA"/>
    <w:rsid w:val="00530738"/>
    <w:rsid w:val="005351D6"/>
    <w:rsid w:val="00553156"/>
    <w:rsid w:val="0055333D"/>
    <w:rsid w:val="00592ECA"/>
    <w:rsid w:val="00595E01"/>
    <w:rsid w:val="00613C9E"/>
    <w:rsid w:val="006247F6"/>
    <w:rsid w:val="006249E9"/>
    <w:rsid w:val="006633D3"/>
    <w:rsid w:val="006677FE"/>
    <w:rsid w:val="006C6CC4"/>
    <w:rsid w:val="006F0781"/>
    <w:rsid w:val="00730F4D"/>
    <w:rsid w:val="0073729F"/>
    <w:rsid w:val="007454A1"/>
    <w:rsid w:val="00764689"/>
    <w:rsid w:val="00781D80"/>
    <w:rsid w:val="007C787B"/>
    <w:rsid w:val="008157D1"/>
    <w:rsid w:val="00827CFE"/>
    <w:rsid w:val="008945CE"/>
    <w:rsid w:val="00894DE2"/>
    <w:rsid w:val="00901261"/>
    <w:rsid w:val="009441C2"/>
    <w:rsid w:val="0095739B"/>
    <w:rsid w:val="0097781A"/>
    <w:rsid w:val="009A6770"/>
    <w:rsid w:val="009B5E2E"/>
    <w:rsid w:val="009D4655"/>
    <w:rsid w:val="009F58DA"/>
    <w:rsid w:val="00A16C25"/>
    <w:rsid w:val="00A21842"/>
    <w:rsid w:val="00A53055"/>
    <w:rsid w:val="00A77D46"/>
    <w:rsid w:val="00B062AD"/>
    <w:rsid w:val="00B15ED3"/>
    <w:rsid w:val="00B36525"/>
    <w:rsid w:val="00BB0A9A"/>
    <w:rsid w:val="00C27433"/>
    <w:rsid w:val="00CA540E"/>
    <w:rsid w:val="00CC2AA9"/>
    <w:rsid w:val="00D52421"/>
    <w:rsid w:val="00D95A15"/>
    <w:rsid w:val="00DB0215"/>
    <w:rsid w:val="00DE7008"/>
    <w:rsid w:val="00E11698"/>
    <w:rsid w:val="00E64995"/>
    <w:rsid w:val="00EC1019"/>
    <w:rsid w:val="00EE172C"/>
    <w:rsid w:val="00EE3575"/>
    <w:rsid w:val="00F173F9"/>
    <w:rsid w:val="00F8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E100D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00D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E10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D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C34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557</TotalTime>
  <Pages>7</Pages>
  <Words>2725</Words>
  <Characters>15535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Василий Семенович</cp:lastModifiedBy>
  <cp:revision>32</cp:revision>
  <dcterms:created xsi:type="dcterms:W3CDTF">2020-04-08T04:56:00Z</dcterms:created>
  <dcterms:modified xsi:type="dcterms:W3CDTF">2020-04-16T05:01:00Z</dcterms:modified>
</cp:coreProperties>
</file>